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80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PEDOMAN PELAKSANAAN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755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PENDIDIKAN DAN 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PELATIHAN(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DIKLAT) KETERAMPILAN PELAUT (DKP)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448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ADVANCE TRAINING FOR OIL AND CHEMICAL TANKER CARGO OPERATIONS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5211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SESUAI STCW 1978 AMANDEMEN 2010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119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Nama Lembaga Diklat/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Sekolah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1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Alamat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11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Jenis Diklat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Kepelautan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ACT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20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Hari/ tanggal Pelaksanaan 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: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119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Bimbingan Teknis (Bimtek)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2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Status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Pengajuan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(Baru / surviallance /pembaharuan)</w:t>
      </w:r>
    </w:p>
    <w:tbl>
      <w:tblPr>
        <w:tblStyle w:val="a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KOMPETENSI LULUSAN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06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0" w:right="54" w:firstLine="3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Standar kompetensi diklat keterampilan khusus pelaut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 and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sesuai ketentuan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STCW 1978  Amendemen 2010 Reg. V/1-1and STCW Code Section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A-V/1-1-1, B-V/1-1. Peserta diklat sesuai ketentuan diharapkan: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9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837" w:right="-59" w:hanging="32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shd w:val="clear" w:color="auto" w:fill="FFE599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Mampu berkontribusi dalam pelaksanaan operasi muatan yang aman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pada kapal tangki minyak dan kimia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Mampu melaksanakan operasi pemadaman kebakaran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Mampu mengambil perhatian untuk mencegah bahaya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Mampumenerapkan perhatian keselamatan dan kesehatan kerja;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8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Mampu meresponkeadaan darurat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56" w:hanging="3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Mampu mengambil perhatian terhadap pencegahan pencemaran  lingkungan Dari tumpahan minyak atau kimia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II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ISI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1" w:right="56" w:hanging="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Pelaksanaan Diklat Keterampilan Pelaut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wajib mengikuti ketentuan sebagai berikut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A.Ruang Lingkup Program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 </w:t>
      </w:r>
    </w:p>
    <w:tbl>
      <w:tblPr>
        <w:tblStyle w:val="a0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149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65" w:right="50" w:firstLine="1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harus mengacu kepada ketentuan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STCW 1978 Amendemen 2010 Reg. V/1- 1and STCW Code Section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A-V/1-1-1, B-V/1-1, ketentuan-ketentuan ini  meliputi batas minimal pengetahuan, pemahaman dan keterampilan yang  harus dicapai untuk mendapatkan sertifikat keterampilan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BTOCTCO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bagi  pelaut. Kurikulum program diklat dan beban belajar mengacu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kepada  kurik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ulum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Diklat Keterampilan Pelaut (DKP) yang diatur dengan peraturan  tersendiri.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B.Tujuan Program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49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65" w:right="54" w:firstLine="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Setelah menyelesaikan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peserta diharapkan memiliki pemahaman dan  keterampilan dasar pengoperasian muatan di kapal tangki minyak dan kimia  secara aman, pemantauan dan pencegahan bahaya, kesehatan serta  keselamatan, pengeperasian pemadaman kebakaran, respon terhadap  keadaan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darurat, pencegahan pencemaran lingkungan dari tumpahan  minyak/muatan kimia.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C.Kurikulum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91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65" w:right="50" w:firstLine="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Kurikulum program diklat ini meliputi batas pengetahuan, pemahaman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 keterampilan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yang harus dicapai untuk mendapatkan sertifikat keterampilan 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).  Kurikulum program diklat harus memenu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hi ketentuan-ketentuan di atas  dengan menerapkan sistem standar mutu kepelautan Indonesia dan  dimaksudkan untuk menghasilkan pelaut yang mampu melaksanakan fungsi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266" w:right="50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fungsi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tugas dan tanggung jawabnya mengacu kepada ketentuan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STCW 2010  Manila Amendements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 Reg. V/1-1 and STCW Code Section A-V/1-1-1, B-V/1-1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  Kurikulum Program Diklat diatur dengan peraturan tersendiri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D.Beban Pembelajaran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10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37" w:right="50" w:hanging="32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Teori adalah kegiatan diklat di kelas,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audio visual room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model room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metode bimbingan oleh dosen / instruktur dalam rangka  mempelajari materi diklat untuk memperoleh pengetahuan dan  pemahaman tentang dasar keselamatan yang diatur sesuai jadwal dan  ditetapkan oleh penyelenggara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89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55" w:hanging="354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Praktek adalah kegiatan diklat dalam bimbingan dosen /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instruktur  pada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laboratorium dan atau simulator sesuai jadwal yang ditetapkan  oleh penyelenggara diklat.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E.Kalenderium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27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65" w:right="113" w:firstLine="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Penyelenggara diklat harus membuat kalender diklat yang sekurang kurangnya berisi tentang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</w:p>
    <w:tbl>
      <w:tblPr>
        <w:tblStyle w:val="a1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Waktu pendaftaran peserta diklat;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Waktu seleksi peserta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3. Waktu kegiatan belajar mengajar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30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Evaluasi diklat; dan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5. Sertifikasi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III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PROSES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A.Persyaratan Peserta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25" w:right="54" w:hanging="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Persyaratan peserta diklat keterampilan pelaut program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Oil and  Chemical Tanker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adalah yang memiliki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67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72" w:right="50" w:hanging="33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Sertifikat Diklat Pemadam Kebakaran Tingkat Lanjutan 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Advanced Training in Fire Fighting Certificate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8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63" w:right="46" w:hanging="356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Minimal Sertifikat Ahli Nautika (ANT) / Ahli Teknika (ATT) - V  atau Pelaut Rating Dinas Jaga Dek/ Mesin/ Teknik Listrik  Kapal;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89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61" w:right="46" w:hanging="35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Sertifikat kesehatan pelaut dari rumah sakit atau lembaga  kesehatan lainnya yang mendapat  pengakuan/penetapan/penunjukan dari dokter yang telah  ditunjuk oleh Direktorat Jenderal Perhubungan Laut;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6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Surat Kenal Lahir / Akte Kelahiran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Birth Certificate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5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5.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Tanda pengenal yang sah, KTP atau SIM;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31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6.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Lulus seleksi penerimaan calon peserta pelatihan.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B, Registrasi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10" w:right="56" w:firstLine="2"/>
              <w:jc w:val="both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Registrasi adalah proses pendaftaran calon peserta diklat dalam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rangka  memenuhi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persyaratan mengikuti seleksi penerimaan calon peserta diklat 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C.Jumlah Peserta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85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09" w:right="53" w:hanging="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Jumlah peserta paling banyak 20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 dua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puluh ) orang per kelas untuk mata  pelajaran yang bersifat teoritikal. Sedangkan untuk praktik di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laboratorium  dan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aktivitas kelompok, seorang pengajar, atau supervisor akan melatih  kelompok peserta yang anggotanya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paling banyak 8 (delapan) orang.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D.Seleksi calon peserta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6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10" w:right="92" w:firstLine="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Seleksi penerimaan calon peserta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Oil and Chemical Tanker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adalah sebagai berikut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</w:t>
      </w:r>
    </w:p>
    <w:tbl>
      <w:tblPr>
        <w:tblStyle w:val="a2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Administrasi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Kesehatan.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E.Proses Pembelajaran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22" w:right="58" w:hanging="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terdiri dari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Perencanaan Pembelajaran meliputi :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Silabus diklat dan rencana pelaksanaan pembelajaran (RPP);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Jadwal Pembelajaran teori dan praktek;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Bahan ajar (materi diklat);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Metode pembelajaran;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Sumber bahan ajar.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Pelaksanaan proses pembelajaran diklat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dilaksanakan dengan memperhatikan: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37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Jumlah peserta diklat maksimal 20 (tiga puluh) orang per kelas 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09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34" w:right="50" w:hanging="28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Pengajar tetap yang memiliki sertifikat keterampilan pelaut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 Training for Oil and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 sekurang-kurangnya 2 (dua) orang dengan jumlah jam mengajar  maksimal 20 jam per minggu untuk 1 (satu) program diklat;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37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Rasio tenaga pengajar tetap dengan peserta sekurang-kurangnya 1 : 20;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Rasio jumlah tenaga pengajar pengampu mata pelajaran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1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39" w:right="54" w:hanging="3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Beban mengajar minimal sesuai sistem standar mutu kepelautan  Indonesia, 8 jam per hari atau 40 jam per minggu;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1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39" w:right="56" w:hanging="3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f.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Rasio minimal buku teks pelajaran disesuaikan dengan jumlah peserta  diklat;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37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g.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Setiap tenaga pengajar maksimal mengampu 4 (empat) mata pelajaran;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0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7" w:right="55" w:hanging="341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h.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Proses pembelajaran dilakukan dengan mengembangkan potensi  peserta diklat untuk memiliki kemampuan kemandirian dalam  melakukan kajian mata pelajaran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9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6" w:right="56" w:hanging="357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Proses pembelajaran diselenggarakan secara interaktif, inspiratif,  menyenangkan, menantang, memotivasi peserta diklat untuk  berpartisipasi aktif, serta memberi ruang yang cukup untuk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4</w:t>
      </w:r>
    </w:p>
    <w:tbl>
      <w:tblPr>
        <w:tblStyle w:val="a3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berprakarsa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 kreatif sesuai dengan situasi dan kondisi peserta diklat.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Penilaian hasil pembelajaran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Penilaian Diagnostik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85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833" w:right="52" w:firstLine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Penilaian diagnostik dilakukan sebelum pembelajaran dimulai untuk  menilai pengetahuan, keterampilan, kemampuan dan bagian yang  lemah dari potensi peserta diklat untuk dikembangkan misalnya dengan  pre test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31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8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Performance Assessment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3" w:right="54" w:hanging="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Yaitu penilaian berdasarkan hasil pengamatan penilai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terhadap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aktivitas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peserta sebagaimana yang terjadi. Penilaian dilakukan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terhadap unjuk kerja, tingkah laku, atau interaksi peserta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70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Penilaian Formatif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833" w:right="50" w:firstLine="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Penilaian formatif adalah bagian dari proses pembelajaran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 merupakan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kelanjutan dari penilaian sebelumnya (Penilaian diagnostik).  Penilaian formatif dilakukan selama kegiatan pembelajaran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masih  berlangsung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atau pada setiap akhir satuan bahasan untuk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mendapatkan informasi kemampuan dan kemajuan yang dicapai oleh  peserta diklat yang dapat digunakan untuk memperbaiki dan  memotivasi peserta diklat (misalnya Post-test).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F.Sertifikasi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3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910" w:right="55" w:firstLine="1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Peserta diklat yang telah menyelesaikan diklat dan kewajibannya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serta  memenuhi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syarat diberikan sertifikat pelatihan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 and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).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34" w:lineRule="auto"/>
              <w:ind w:left="909" w:right="50" w:firstLine="4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Sertifikat pelatihan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dikeluarkan sebagai bukti sertifikasi bahwa  peserta diklat dinyatakan telah berhasil menyelesaikan pelatihan dan  memenuhi tingkat pengetahuan serta kompetensi yang diatur didalam 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Reg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. V/1-1and STCW Code Section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A-V/1-1-1, B-V/1-1. Sertifikat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dapat  diterbitkan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setelah mendapatkan pengesahan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(approved)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dari  Direktorat Jenderal Perhubungan Laut.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IV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PENILAIAN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Mekanisme dan Prosedur Penilaian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409" w:right="51" w:firstLine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Lembaga Diklat diharuskan melaksanakan penilaian kepada peserta diklat.  Penilaian paling tidak meliputi penilaian terhadap keaktifan/ kehadiran  peserta selama proses diklat berlangsung yaitu 100% kehadiran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Evaluasi Diklat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Evaluasi merupakan suatu kegiatan untuk menggali informasi peserta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</w:t>
      </w:r>
    </w:p>
    <w:tbl>
      <w:tblPr>
        <w:tblStyle w:val="a4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4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12" w:right="56" w:hanging="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dalam menguasai materi yang telah dipelajarinya. Evaluasi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dilakukan  setelah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proses belajar berlangsung.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06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08" w:right="51" w:firstLine="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Dalam implementasinya evaluasi seringkali dilakukan diakhir proses belajar,  sekalipun sesungguhnya evaluasi dapat dilakukan pada saat proses belajar  berlangsung, karena fungsi evaluasi untuk mengukur tingkat penguasaan  peserta diklat atau kelompok terha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dap materi yang disampaikan, Evaluasi  bisa dilaksanakan dengan Pre test dan Post test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Pre test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85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28" w:right="56" w:hanging="1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Yaitu test yang diberikan sebelum proses pembelajaran dengan tujuan  untuk mengetahui sejauh manakah materi yang akan disampaikan  dalam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telah dikuasai oleh peserta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Post test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5" w:right="56" w:hanging="6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Yaitu test yang diberikan setelah dilaksanakan proses pembelajaran  dengan tujuan untuk mengetahui tingkat penguasaan materi peserta 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V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PENDIDIK DAN TENAGA KEPENDIDIK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A.Persyaratan Pendidikv7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22" w:right="57" w:hanging="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Pendidik pada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harus mempunyai kualifikasi sebagai berikut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43" w:right="51" w:hanging="40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Harus memiliki sertifikat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IMO Model Course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6.09 dan -kurangnya 1  (satu) orang pendidik harus memiliki sertifikat TOE 3.12;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28" w:right="51" w:hanging="41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Memiliki sertifikat kompetensi kepelautan sekurang-kurangnya  ANT/ATT II dan pengalaman berlayar selama 2 tahun dengan  pengalaman 6 bulan di kapal oil / chemical tanker;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47" w:right="58" w:hanging="43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Memiliki sertifikat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06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689" w:right="54" w:hanging="277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Instruktur praktikum wajib memiliki sertifikat pengoperasian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simulator  atau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laboratorium atau peralatan praktek lainnya yang berkaitan dengan  kegiatan praktek diklat sesuai ketentuan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STCW 1978 Amendement 2010  Reg. V/1-1 and STCW Code Section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A-V/1-1-1, B-V/1-1.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B.Tenaga Kependidikan.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501" w:right="5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Tenaga Kependidikan pada lembaga diklat kepelautan harus memiliki  kualifikasi, kompetensi, dan sertifikasi sesuai dengan bidang tugasnya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37" w:right="104" w:hanging="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Tenaga kependidikan pada Lembaga Diklat Kepelautan sekurang – kurangnya terdiri atas.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Ketua / Direktur / Kepala / Wakil Ketua/Wakil Direktur/Wakil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</w:t>
      </w:r>
    </w:p>
    <w:tbl>
      <w:tblPr>
        <w:tblStyle w:val="a5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Kepala Lembaga Diklat Kepelautan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Tenaga administrasi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Tenaga perpustakaan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87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57" w:right="56" w:hanging="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Tenaga Laboratorium dan Simulator diatur dengan peraturan  tersendiri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Tenaga kebersihan Lembaga Diklat Kepelautan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f.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Teknisi sumber belajar;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g.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Psikolog, Dokter/Para Medis, Pekerja Sosial, dan Terapis.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VI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STANDAR SARANA DAN PRASARANA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55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Peralatan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PERALATAN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Ruang belajar/ruang kelas Untuk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24 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Overhead Projector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 SET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Blackboard/whiteboard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 SET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Liquid cargo handling Simulator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 UNIT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IMO Model Course 1.01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BUAH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B.Teaching Aids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A1 Instructor‘s Manual (Part D of this course)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A2 Resuscitator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A3 Breathing apparatus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A4 Portable oxygen meter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A5 Portable combustible-gas detector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4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47" w:right="54" w:hanging="366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A6 Portable tankscope / Multi point flammable gas (infra- red gas  analyzer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A7 Portable toxic-gas detector &amp; chemical absorption tubes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A8 Portable multigas – detector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A9 Personal multigas – detector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A10 Tank evacuation equipment.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7E251D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Belum tersedia</w:t>
            </w:r>
          </w:p>
        </w:tc>
      </w:tr>
      <w:tr w:rsidR="00B74084">
        <w:trPr>
          <w:trHeight w:val="2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A11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Overhead projector for power point presentations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A12 Chemical Tanker Cargo &amp;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 Ballast Water Handling Simulator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A13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Fire-fighting installations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B74084">
        <w:trPr>
          <w:trHeight w:val="2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A14 White board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</w:p>
    <w:tbl>
      <w:tblPr>
        <w:tblStyle w:val="a6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lastRenderedPageBreak/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3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A15 Videos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C.Referensi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50" w:right="63" w:hanging="369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R1 International Convention for the Safety of Life at Sea, 1974  (SOLAS1974), Consolidated Edition 2009, (IMO-IIOE)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81" w:right="59"/>
              <w:jc w:val="center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R2 STCW 78 as amended, including 2010 Manila amendments,  International, International convention on STCW, 2010 (IMO-938E)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8" w:right="58" w:hanging="357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R3 MARPOL 73/78, International Convention for the Prevention of  Pollution from Ships, Consolidated Edition 2011 (IMO-520E)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5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R4 IG Systems, Inert Gas Systems (IMO-860E) </w:t>
            </w:r>
          </w:p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R5 Crude Oil Washing Systems (COW Systems)(IMO-617E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81" w:right="61"/>
              <w:jc w:val="center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R6 MFAG with chemical supplement, Medical First aid Guide for use in  accidents involving dangerous good (IMDG Code Supplement – IMO-210E)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</w:p>
        </w:tc>
      </w:tr>
      <w:tr w:rsidR="00B74084">
        <w:trPr>
          <w:trHeight w:val="65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53" w:right="61" w:hanging="372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R7 International Code for the construction and Equipment of Ships  Carrying Dangerous Chemicals in Bulk (BCH Code), as amended (IMO 774E)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5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53" w:right="59" w:hanging="372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R8 International Code for the construction and Equipment of Ships  Carrying Dangerous Chemicals in Bulk (IBC Code), as amended (IMO 100E)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8" w:right="59" w:hanging="357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R9 Guidelines for the Development of Shipboard Pollution Emergency  Plans (SOPEP) (IMO-586E)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50" w:right="61" w:hanging="369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R10 ISM Code, International Safety Management Code (ISM Code)  (IMO-117E)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49" w:right="57" w:hanging="368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R11 IMO Model Course 2.06 – Oil Tanker Cargo &amp; Ballast handling  Simulator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4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8" w:right="56" w:hanging="357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R12 IMO Model Course 1.37 – Chemical Tanker Cargo &amp; Ballast  Handling Simulator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6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81" w:right="56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R13 IMO Model Course 1.20 – Fire Prevention and Fire Fighting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R14 IMO Resolution A.1050(27) – Revised Recommendations for  Entering Enclosed Spaces Aboard Ships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D.Buku Teks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5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985" w:right="54" w:hanging="432"/>
              <w:jc w:val="both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T1 Safety in Oil Tankers, International Chamber of Shipping, </w:t>
            </w: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Safety  in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 Oil Tankers.(International Chamber of Shipping, Carthusian Court, 12  Carthusian Street, London,ECIM 6EZ, U.K.)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E251D">
              <w:rPr>
                <w:rFonts w:ascii="Bookman Old Style" w:eastAsia="Bookman Old Style" w:hAnsi="Bookman Old Style" w:cs="Bookman Old Style"/>
                <w:b/>
                <w:sz w:val="18"/>
                <w:szCs w:val="18"/>
                <w:highlight w:val="red"/>
              </w:rPr>
              <w:t>Belum tersedia</w:t>
            </w:r>
          </w:p>
        </w:tc>
      </w:tr>
      <w:tr w:rsidR="00B74084">
        <w:trPr>
          <w:trHeight w:val="22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E.Laboratorium dan Simulator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39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05" w:right="52" w:hanging="29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Lembaga Diklat harus memiliki laboratorium / simulator yang dibutuhkan  untuk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Chemical Tanker Cargo Operations 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yang diatur dengan peraturan tersendiri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</w:p>
    <w:tbl>
      <w:tblPr>
        <w:tblStyle w:val="a7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VII 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STANDAR PENGELOLAAN LEMBAGA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0" w:right="53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Lembaga diklat yang menyelenggarakan diklat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Basic Training for Oil and  Chemical Tanker Cargo Operations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BTOCTCO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) wajib menerapkan ketentuan  sebagai berikut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85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3" w:right="55" w:hanging="32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Pengelolaan lembaga diklat meliputi perencanaan program, penyusunan  kurikulum, kegiatan pembelajaran, pendayagunaan pendidik dan  tenaga kependidikan, pengelolaan sarana dan prasarana diklat,  penilaian hasil belajar, dan pengawasan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33" w:right="54" w:hanging="31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Lembaga diklat wajib memiliki pedoman yang mengatur tentang  pelaksanaan kegiatan diklat meliputi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Kurikulum dan silabus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Rencana pelaksanaan pembelajaran (RPP);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5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Beban mengajar pendidik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Kalenderium Diklat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8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Diklat. Jadwal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C.Rencana kerja tahunan lembaga diklat meliputi :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Kalenderium pendidikan yang meliputi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a). Jadwal pembelajaran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b).Jadwal kurikulum diklat untuk kegiatan diklat berikutnya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56" w:right="50" w:firstLine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c). Jadwal penggunaan dan pemeliharan sarana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 prasarana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diklat, pengadaan, penggunaan dan persediaan minimal  bahan habis pakai.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76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Penugasan pendidik pada mata kuliah dan kegiatan lainnya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9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17" w:right="56" w:hanging="34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Teaching aids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(A), video (V), referensi (R), buku teks (T), dan  bibliography (B) yang dipakai pada tiap-tiap mata kuliah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8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13" w:right="55" w:hanging="33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Rencana kerja anggaran pendapatan dan belanja lembaga diklat  untuk masa kerja 1 (satu) tahun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8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42" w:right="51" w:hanging="37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Jadwal penyusunan akuntabilitas dan kinerja lembaga diklat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 1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(satu) tahun terakhir.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VIII. STANDAR PEMBIAYAAN DIKLAT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644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0" w:right="56" w:firstLine="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Pembiayaan Pendidikan adalah yang mengatur komponen dan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besarnya  biayaoperasi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satuan pendidikan yang berlaku selama satu tahun.  Pembiayaan pendidikan terdiri atas :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87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09" w:right="56" w:hanging="28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Biaya investasi yang meliputi biaya penyediaan sarana dan prasarana,  pengembangan sumberdaya manusia, dan modal kerja tetap;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4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</w:t>
      </w:r>
    </w:p>
    <w:tbl>
      <w:tblPr>
        <w:tblStyle w:val="a8"/>
        <w:tblW w:w="1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7367"/>
        <w:gridCol w:w="1256"/>
        <w:gridCol w:w="1567"/>
        <w:gridCol w:w="1420"/>
        <w:gridCol w:w="2541"/>
      </w:tblGrid>
      <w:tr w:rsidR="00B74084">
        <w:trPr>
          <w:trHeight w:val="431"/>
        </w:trPr>
        <w:tc>
          <w:tcPr>
            <w:tcW w:w="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6" w:hanging="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 xml:space="preserve">(Quantity)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Kondisi Sarana </w:t>
            </w:r>
          </w:p>
        </w:tc>
        <w:tc>
          <w:tcPr>
            <w:tcW w:w="2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B74084">
        <w:trPr>
          <w:trHeight w:val="215"/>
        </w:trPr>
        <w:tc>
          <w:tcPr>
            <w:tcW w:w="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2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Baik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Rusak</w:t>
            </w:r>
          </w:p>
        </w:tc>
        <w:tc>
          <w:tcPr>
            <w:tcW w:w="2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B74084">
        <w:trPr>
          <w:trHeight w:val="223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Biaya operasi terdiri dari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692" w:right="56" w:hanging="2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Biaya Personalia meliputi gaji pendidik dan tenaga kependidikan serta  segala tunjangan yang melekat pada gaji,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Biaya Non Personalia meliputi :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0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3" w:right="55" w:hanging="279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Biaya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Alat Tulis Sekolah (ATS) adalah biaya untuk pengadaan alat tulis  sekolah yang dibutuhkan untuk pengelolaan sekolah dan proses  belajar.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154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3" w:right="50" w:hanging="26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Biaya bahan dan alat habis pakai (BAHP) adalah biaya untuk  pengadaan alat-alat dan bahan-bahan praktikum Kompetensi  Kepelautan dan bahan-bahan praktik ketrampilan khusus pelaut, alat alat dan bahan- bahan olah raga, alat-alat dan bahan-bahan  kebersihan,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alat-alat dan bahan-bahan kesehatan dan keselamatan,  tinta stempel, toner/tinta printer, dll yang habis dipakai dalam waktu  satu tahun atau kurang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912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3" w:right="55" w:hanging="279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Biaya pemeliharaan dan perbaikan ringan adalah biaya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 memelihara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dan memperbaiki sarana dan prasarana Lembaga Diklat  Kepelautan untuk mempertahankan kualitas sarana danprasarana agar  layak digunakan sebagai tempat belajar dan mengajar.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0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2" w:right="55" w:hanging="258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Biaya daya dan jasa adalah biaya untuk membayar langganan daya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 jasa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yang mendukung kegiatan belajar mengajar di Lembaga Diklat  Kepelautan seperti listrik, telepon, air, dll.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0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3" w:right="55" w:hanging="268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Biaya transportasi/perjalanan dinas adalah biaya untuk berbagai  keperluan perjalanan dinas pendidik, tenaga kependidikan, dan peserta  didik baik didalam kota maupun ke luar kota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0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3" w:right="56" w:hanging="281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f.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Biaya konsumsi adalah biaya untuk penyediaan konsumsi dalam  kegiatan Lembaga Diklat Kepelautan yang layak disediakan konsumsi  seperti rapat-rapat, perlombaan, dll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700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29" w:right="55" w:hanging="27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g.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Biaya asuransi adalah biaya membayar premi asuransi untukkeamanandankeselamatanLembagaDiklatKepelautan, pendidik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  tenaga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kependidikan, dan peserta didik.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88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52" w:right="5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h.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Biaya pelaporan adalah biaya untuk menyusun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danmengirimkan  laporan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lembaga diklat kepelautan kepada pihak yang berwenang.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431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5" w:right="55" w:firstLine="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Standar biaya pelaksanaan Diklat Keterampilan Pelaut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mengacukepada  ketentuan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peraturan perundang-undangan yang berlaku.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7"/>
        <w:rPr>
          <w:color w:val="000000"/>
          <w:sz w:val="18"/>
          <w:szCs w:val="18"/>
        </w:rPr>
        <w:sectPr w:rsidR="00B74084">
          <w:pgSz w:w="16820" w:h="11900" w:orient="landscape"/>
          <w:pgMar w:top="1424" w:right="796" w:bottom="1036" w:left="1328" w:header="0" w:footer="720" w:gutter="0"/>
          <w:pgNumType w:start="1"/>
          <w:cols w:space="720"/>
        </w:sectPr>
      </w:pPr>
      <w:r>
        <w:rPr>
          <w:color w:val="000000"/>
          <w:sz w:val="18"/>
          <w:szCs w:val="18"/>
        </w:rPr>
        <w:t>10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430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 xml:space="preserve">………,…………………….2022 Pimpinan Lembaga Diklat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1" w:line="240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(……………………………)</w:t>
      </w:r>
    </w:p>
    <w:tbl>
      <w:tblPr>
        <w:tblStyle w:val="a9"/>
        <w:tblW w:w="10882" w:type="dxa"/>
        <w:tblInd w:w="3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44"/>
        <w:gridCol w:w="284"/>
        <w:gridCol w:w="1240"/>
        <w:gridCol w:w="283"/>
        <w:gridCol w:w="3225"/>
        <w:gridCol w:w="3846"/>
      </w:tblGrid>
      <w:tr w:rsidR="00B74084">
        <w:trPr>
          <w:trHeight w:val="432"/>
        </w:trPr>
        <w:tc>
          <w:tcPr>
            <w:tcW w:w="108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………………………………………………,………….2022</w:t>
            </w:r>
          </w:p>
        </w:tc>
      </w:tr>
      <w:tr w:rsidR="00B74084">
        <w:trPr>
          <w:trHeight w:val="219"/>
        </w:trPr>
        <w:tc>
          <w:tcPr>
            <w:tcW w:w="108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Jabatan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Nama/ NIP </w:t>
            </w:r>
          </w:p>
        </w:tc>
        <w:tc>
          <w:tcPr>
            <w:tcW w:w="3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Tanda Tangan</w:t>
            </w: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Lead 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3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B74084">
        <w:trPr>
          <w:trHeight w:val="252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7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084" w:rsidRDefault="00B7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B740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Ditetapkan </w:t>
      </w:r>
      <w:proofErr w:type="gramStart"/>
      <w:r>
        <w:rPr>
          <w:color w:val="000000"/>
          <w:sz w:val="20"/>
          <w:szCs w:val="20"/>
        </w:rPr>
        <w:t>di :</w:t>
      </w:r>
      <w:proofErr w:type="gramEnd"/>
      <w:r>
        <w:rPr>
          <w:color w:val="000000"/>
          <w:sz w:val="20"/>
          <w:szCs w:val="20"/>
        </w:rPr>
        <w:t xml:space="preserve"> J A K A R T A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Pada </w:t>
      </w:r>
      <w:proofErr w:type="gramStart"/>
      <w:r>
        <w:rPr>
          <w:color w:val="000000"/>
          <w:sz w:val="20"/>
          <w:szCs w:val="20"/>
        </w:rPr>
        <w:t>Tanggal :</w:t>
      </w:r>
      <w:proofErr w:type="gramEnd"/>
      <w:r>
        <w:rPr>
          <w:color w:val="000000"/>
          <w:sz w:val="20"/>
          <w:szCs w:val="20"/>
        </w:rPr>
        <w:t xml:space="preserve"> Maret 2022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DIREKTUR PERKAPALAN DAN KEPELAUTAN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4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H. Ahmad Wahid, S.T., M.T., M.Mar.E.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  <w:sectPr w:rsidR="00B74084">
          <w:type w:val="continuous"/>
          <w:pgSz w:w="16820" w:h="11900" w:orient="landscape"/>
          <w:pgMar w:top="1424" w:right="1132" w:bottom="1036" w:left="1399" w:header="0" w:footer="720" w:gutter="0"/>
          <w:cols w:num="2" w:space="720" w:equalWidth="0">
            <w:col w:w="7160" w:space="0"/>
            <w:col w:w="7160" w:space="0"/>
          </w:cols>
        </w:sectPr>
      </w:pPr>
      <w:r>
        <w:rPr>
          <w:color w:val="000000"/>
          <w:sz w:val="20"/>
          <w:szCs w:val="20"/>
        </w:rPr>
        <w:t xml:space="preserve">NIP. 19650725 199308 1 001 </w:t>
      </w:r>
    </w:p>
    <w:p w:rsidR="00B74084" w:rsidRDefault="007E25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9" w:line="240" w:lineRule="auto"/>
        <w:ind w:left="70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11 </w:t>
      </w:r>
    </w:p>
    <w:sectPr w:rsidR="00B74084">
      <w:type w:val="continuous"/>
      <w:pgSz w:w="16820" w:h="11900" w:orient="landscape"/>
      <w:pgMar w:top="1424" w:right="796" w:bottom="1036" w:left="1328" w:header="0" w:footer="720" w:gutter="0"/>
      <w:cols w:space="720" w:equalWidth="0">
        <w:col w:w="146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4084"/>
    <w:rsid w:val="007E251D"/>
    <w:rsid w:val="00B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3146</Words>
  <Characters>17933</Characters>
  <Application>Microsoft Office Word</Application>
  <DocSecurity>0</DocSecurity>
  <Lines>149</Lines>
  <Paragraphs>42</Paragraphs>
  <ScaleCrop>false</ScaleCrop>
  <Company/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2022-10-03T03:20:00Z</dcterms:created>
  <dcterms:modified xsi:type="dcterms:W3CDTF">2022-10-03T03:22:00Z</dcterms:modified>
</cp:coreProperties>
</file>