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30"/>
        <w:jc w:val="right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PENGESAHAN (APPROVAL) PROGRAM DIKLAT KEPELAUTAN PADA LEMBAGA DIKLAT 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right="2167"/>
        <w:jc w:val="right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PROGRAM DIKLAT KETERAMPILAN KAPAL PENUMPANG PASSENGER SHIP CROWD MANAGEMENT TRAINING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ind w:left="115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Nama Lembaga Diklat/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Sekolah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08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Alamat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107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Jenis Diklat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Kepelautan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CROWD MANAGEMENT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1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Hari/ tanggal Pelaksanaan 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: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15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Bimbingan Teknis (Bimtek)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18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Status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Pengajuan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(Baru / surviallance /pembaharuan)</w:t>
      </w:r>
    </w:p>
    <w:tbl>
      <w:tblPr>
        <w:tblStyle w:val="a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31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6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A. Sarana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068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641" w:right="52" w:firstLine="4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Setiap lembaga diklat kepelautan wajib memiliki sarana yang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meiputi  parabotan,peralatan,media,buku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dan sumber belajar lainya,bahan habis  pakai serta perlengkapan lain yang di perlukan untuk menunjang proses  diklat lebih teratur dan berkelanjutan sesuai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IMO Model Course  1.28.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1. Perabotan umum ruang kelas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penerangan/pencahayaan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Baik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sirkulasi udara/ventilasi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Baik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pendingin ruangan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80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• CCTV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80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• public announce system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6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jaringan internet nirikabel/Wifi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tempat duduk dan meja tulis peserta diklat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jam dinding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tempat sampah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4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Alat pemadam api ringan (APAR)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• fire detector and sprinker system sesuai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9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ketentuan bangunan Gedung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Baik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3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2. Peralatan sebagai fasiltas pembelajaran antara lain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716" w:right="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Lembaga diklat kepelautan diwajibkan memiliki sarana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sesuai /MO model Course yaitu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buah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073" w:right="52" w:hanging="33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1. ruang kelas yang dilengkapi dengan peralatan overhead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projector dan audio visual untuk video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buah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65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 </w:t>
      </w:r>
    </w:p>
    <w:tbl>
      <w:tblPr>
        <w:tblStyle w:val="a0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73" w:right="52" w:hanging="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2. ruang praktek yang diilustrasikan sebagai kapal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penumpang dan kapal ro-ro penumpang: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buah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3.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instructor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manual. dan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buah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4. Video: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a. V1 Basic Instincis (Passenger Mustering and Crowd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53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Control).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b. V2 Crisis Management.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c. V3 Crowd Management.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5) IMO References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a. SOLAS: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b. International Maritime Dangerous Goods Code,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c. Medical First Aid Guide (MFAG).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d. Code Of Safe Pratice For Cargo Stowage And Securing,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e. Standart Training Certificate Walchkeeping: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f. Internasional Safety Management Code: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g. International code of safety for High Speed Crak,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075" w:right="51" w:hanging="3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h. IMO Resolution MSC/Circ.735 Recommendation on the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design and operation ofpassenger Ships to respond to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eldery and disable person's needs: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75" w:right="49" w:hanging="36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i. IMO Resolution A.489 (XII). Safe stowage and securing of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cargo units and other entities in ships other than cellular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7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contained Ships: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75" w:right="51" w:hanging="38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j. IMO Resolution A.533 (13). Element to be taken into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account when considering the safe stowage and securing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of cargo unils and vehicles in ships: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75" w:right="46" w:hanging="36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k. IMO Resolution A.581 (14). Guidelines for securing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arrangements for the Iranport of road vehicles on ro-ro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7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ships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76" w:right="50" w:hanging="36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l. IMO Resolution A.714 (17). Code of safe practice for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cargo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stowage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and securing.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74" w:right="51" w:hanging="3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m. IMO Resolution A.770 (18). Minimum training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reguirement for personnel nominated to assist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2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passengers in emergency situations on passenger Ships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6) A Lesson Plan: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7) Course timetable,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8) Hand out: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9) Perpustakaan dan Internet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716" w:right="5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Memiliki akses wifi dengan bandwith minimal 5 megabyte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second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(mbps).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0,09 %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Catatan: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</w:p>
    <w:tbl>
      <w:tblPr>
        <w:tblStyle w:val="a1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49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Peralatan pembelajaran, buku bacaan dan sumber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belajar lain sejenis dengan fungsi yang sama dapat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digunakan pendidik menyesuaikan dengan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perubahan ketentuan yang berlaku: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Jumlah peralatan dan perlengkapan praklek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maksimum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dipersyaratkan 1 . 6. untuk kemudahan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02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pembelajaran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disarankan 1 : 4.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3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B. Prasarana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91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Setiap Lembaga diklat kepelautan wajib memiliki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prasarana yang meliputi lahan dan bangunan, ruang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kelas, ruang pimpinan, ruang didik, ruang tata usaha,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ruang perpustakaan, ruang laboratorium, ruang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praktek/bengkel kerja, ruang simulator, ruang kantin,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instalasi daya, tempat berolahraga, tenpat beribadah,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tempat berkreasi dan tempat lain yang diperlukan untuk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menunjang proses pembelajaran lebih teratur dan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berkelanjutan sesuai dengan IMO MODEL COURSE 1.28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Lahan dan bangunan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Lahan harus memiliki status hak atas tanah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06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Lahan sesuai dengan peruntukkan lokasi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diatur dalam Rencana Tata Ruang Wilayah atau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rencana lain yang lebih rinci dan mengikat serta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mendapat ijin pemanfaatan tanah dari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5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pemerintah setempat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Lahan terhindar dari potensi bahaya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mengancam kesehatan, keselamatan jiwa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gangguan pencemaran air, udara dan kebisingan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Lahan memiliki akses untuk penyelamatan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3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dalam keadaan darurat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Bangunan dilengkapi ijin mendirikan bangunan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ijin pembangunan sesuai ketentuan nasional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6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terkait yang berlaku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06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f. Pembangunan gedung atau ruang baru harus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dirancang dan dibangun secara permanen,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dilaksanakan dan diawasi secara professional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serta mampu bertahan minimal 20 (dua puluh)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tahun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g. Bangunan dilengkapi dengan instalasi daya/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listrik utama dan tenaga cadangan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mencukupi serta memenuhi persyaratan tata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bangunan, keselamatan kesehatan,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1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</w:t>
      </w:r>
    </w:p>
    <w:tbl>
      <w:tblPr>
        <w:tblStyle w:val="a2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kenyamanan, dan keamanan sesuai ketentan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36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nasional yang terkait yang berlaku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h. Bangunan menyediakan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Fasilitas dan aksesibilitas yang mudah, aman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4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nyaman termasuk bagi penyandang cacat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5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Sistem peringatan bahaya bagi pengguna, pintu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keluar darurat dan jalur evakuasi jika terjadi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1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bencana kebakaran dan/ atau bencana lainnya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Akses evakuasi yang dapat dicapai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4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mudah dan dilengkapi penunjuk arah yang jelas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4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Ruang kelas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7" w:right="54" w:hanging="69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untuk kegiatan pembelajaran teori dan  praktek yang tidak memerlukan peralatan khusus atau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praktek yang mudah dihadirkan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65" w:right="5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Jumlah minimum ruang kelas adalah sama dengan  jumlah program diklat kepelautan yang dilaksanakan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060" w:right="109" w:hanging="696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Kapasitas maksimum ruang kelas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24 peserta diklat;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Rasio minimum luas kelas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1,8 m2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/ peserta;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3" w:right="56" w:hanging="68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e.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Ruang kelas memiliki jendela dan pintu yang memadai  untuk digunakan sebagai pencahayaan, keluar ruang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bila terjadi bahaya dan dapat dikunci dengan baik saat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tidak digunakan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3. Ruang pimpinan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7" w:right="54" w:hanging="69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sebagai tempat melakukan kegiatan  pengelolaan lembaga diklat, pertemuan dengan sejumlah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72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pendidik, peserta didik, pesetugas atau tamu lain;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Luas minimum ruang pimpinan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 m2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63" w:right="55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Mudah diakses, dikunci dengan baik dan dilengkapi  dengan sarana untuk kepentingan pimpinan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  <w:t>Ruang pendidik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057" w:right="55" w:hanging="69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sebagai tempat pendidik bekerja dan  beristirahat serta menerima tamu, baik peserta didik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maupun tamu lainnya;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8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Luas minimum ruang pendidik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32 m2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9" w:right="55" w:hanging="69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Mudah dicapai dari bangunan utama ruang kelas dan  dekat dengan ruang pimpinan serta dilengkapi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sarana untuk keperluan pendidik;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5.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  <w:t>Ruang tata usaha/administrasi pelaksanaan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1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</w:t>
      </w:r>
    </w:p>
    <w:tbl>
      <w:tblPr>
        <w:tblStyle w:val="a3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8" w:right="54" w:hanging="6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sebagai tempat tenaga kependidikan  melaksanakan tata usaha / administrasi pelaksanaan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139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diklat sehingga terselenggara dengan baik;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Luas minimun ruangan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30 m2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9" w:right="56" w:hanging="69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Mudah diakses dari dalam dan luar lingkungan lembaga  diklat serta dilengkapi dengan sarana untuk keperluan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tata usaha / administrasi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6.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  <w:t>Ruang perpustakaan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8" w:right="53" w:hanging="6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sebagai tempat kegiatan peserta dan pendidik  memperoleh informasi dari berbagai jenis bahan Pustaka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dengan membaca, mengamati, mendengar, dan tempat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petugas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pengelola.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60" w:right="54" w:hanging="69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Luas minimum ruang perpustakaan sama dengan luas  satu ruang kelas atau mampu menampung 1 (satu) kelas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penunjang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9" w:right="55" w:hanging="69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Mudah dicapai dari bangunan utama ruang kelas,  dilengkapi dengan tempat membaca buku serta sarana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5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keperluan perpustakaan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7.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  <w:t>Ruang laboratorium/simulator/praktek/bengkel kerja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7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Rasio minimum luas ruang lab.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m2/ peserta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7" w:right="55" w:hanging="69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Digunakan sebagai ruangan untuk menempatkan alat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bantu dalam mendukung pelaksanaan diklat dengan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7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bentuk percobaan, praktek dan latihan kerja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9" w:right="52" w:hanging="69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Mudag dicapai dari bangunan utama ruang kelas,  dilengkapi dengan peralatan laboratorium/ praktek/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bengkel kerja serta sarana untuk keperluan lainnya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8.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  <w:t>Ruang kantin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7" w:right="55" w:hanging="69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sebagai tempat istirahat pendidik, tenaga  kependidikan, peserta dan tamu lainnya yang memiliki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kepentingan dengan lembaga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9" w:right="55" w:hanging="69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Ruang kantin atau jumlah lokasi istirahat disesuaikan  dengan keperluan lembaga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9. 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7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Instalasi Daya / Listrik Utama dan Cadangan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53" w:right="53" w:hanging="6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Dilengkapi instalasi daya/ listrik utama yang mencukupi  untuk melaksanakan pembelajaran dan kegiatan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laboratorium/ praktek/ bengkel kerja bagi setiap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 diklat kepelautan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7" w:right="51" w:hanging="69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Dilengkapi tenaga cadangan untuk mendukung  pembelajaran dan kegiatan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laboratorium/praktek/bengkel kerja apabila terjadi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73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kegagalan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instalasi daya"listrik utama.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</w:t>
      </w:r>
    </w:p>
    <w:tbl>
      <w:tblPr>
        <w:tblStyle w:val="a4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10 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Tempat berolahraga, beribadah, berkreasi dan sanitasi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9" w:right="55" w:hanging="6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Penyediaan tempat berolahraga, beribadah, berkreasi  dan sanitasi disesuaikan dengan kebutuhan lembaga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diklat;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65" w:right="55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Mudah dicapai, terjaga kebersihannya dan dilengkapi  dengan sarana lain sesuai dengan keperluannya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11 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Lapangan terbuka untuk praktek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59" w:right="56" w:hanging="6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Tersedia lapangan terbuka dengan radius yang aman dari  area public untuk melaksanakan praktek program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47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Personal protectiveequipments (PPE):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23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Fireman outfit and apparatus: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33490F">
        <w:trPr>
          <w:trHeight w:val="2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Chemical suits: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Foam applicators: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33490F">
        <w:trPr>
          <w:trHeight w:val="2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Portable foam and dry chemical powder: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Tersedia</w:t>
            </w: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Fixed foam ( high expansion) installation: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Pr="00D80566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D80566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Belum Tersedia</w:t>
            </w: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Fixed dry chemical powder installation: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Pr="00D80566" w:rsidRDefault="00D80566">
            <w:pPr>
              <w:widowControl w:val="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red"/>
              </w:rPr>
            </w:pPr>
            <w:r w:rsidRPr="00D80566">
              <w:rPr>
                <w:rFonts w:ascii="Bookman Old Style" w:eastAsia="Bookman Old Style" w:hAnsi="Bookman Old Style" w:cs="Bookman Old Style"/>
                <w:sz w:val="18"/>
                <w:szCs w:val="18"/>
                <w:highlight w:val="red"/>
              </w:rPr>
              <w:t>Belum Tersedia</w:t>
            </w: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059" w:right="55" w:hanging="69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Dilengkapi dengan sarana pendukung lain yang  diperlukan untuk menunjang pelaksanaan praktek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 diklat antara lain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General Alarm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>Muster Station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Emergency Muster List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Skenario Praktek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Display/ Gambar penggunaan peralatan dan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3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pemadaman kebakaran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Prosedur dan insturksi kerja: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II Standar Pendidikan dan Tenaga Kependidikan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7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A. Pendidik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Pendidik dibidang kepelautan merupakan setiap orang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yang mendapatkan Sertifikat Pengukuhan Pendidik oleh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Administrasi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sebagai tenaga pendidik yang memiliki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kualifikasi dan kompetensi sebagai guru, dosen,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instruktur, fasilitator dan sebutan lain yang sesuai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dengan kekhususannya serta berpartisipasi dalam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39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melaksanakan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program diklat kepelautan.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Kualifikasi dan kompetensi pendidik dibuktikan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Ijazah/ Sertifikat Keahlian yang relevan sesuai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ketentuan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IMO Model Course 1.28. dan memperhatikan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Kualifikasi Tenaga Pendidik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</w:t>
      </w:r>
    </w:p>
    <w:tbl>
      <w:tblPr>
        <w:tblStyle w:val="a5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pengajar harus memiliki sertifikat IMO Model Course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63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a.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6.09 dan sekurang-kurangnya satu orang memiliki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6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Sertifikat IMO Model Course 3.12: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pengajar pada program diklat kepelautan program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pelatihan dasar keselamatan dengan latar belakang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5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b.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kompetensi kepelautan minimal memiliki Sertifikat Crisis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Management Training: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61" w:right="52" w:hanging="69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Pengajar tetap yang memiliki sertifikat Keahlian Pelaut  Crisis Management Training sekurang-kurangnya 2 (dua)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orang dengan jumlah jam mengajar minimal 20 jam per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minggu: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Rasio tenaga pengajar tetap sekurang-kurangnya 1:40: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63" w:right="5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30"/>
                <w:szCs w:val="30"/>
                <w:vertAlign w:val="subscript"/>
              </w:rPr>
              <w:t>e.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Rasio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seluruh tenaga pengajar (pengajar tetap dan tidak  tetap) peserta didik sekurang-kurangnya 1:20.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59" w:right="55" w:hanging="72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30"/>
                <w:szCs w:val="30"/>
                <w:vertAlign w:val="subscript"/>
              </w:rPr>
              <w:t xml:space="preserve">f.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pembelajaran praktek rasio pengajar dan peserta  disesuaikan dengan sarana dan prasarana yang tersedia: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Dalam 1 (satu) hari tenaga pengajar maksimal mengajar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55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g.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8 jam dan dalam 1 (satu) minggu tidak boleh lebih dari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40 jam: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57" w:right="55" w:hanging="69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h.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Setiap tenaga pengajar maksimal mengampu 4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mata  pelajaran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2 Beban pengajar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63" w:right="31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30"/>
                <w:szCs w:val="30"/>
                <w:vertAlign w:val="subscript"/>
              </w:rPr>
              <w:t>a.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Dalam 1 (satu) hari belajar, maksimal waktu pendidik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mengajar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8 jam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pelajaran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65" w:right="5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30"/>
                <w:szCs w:val="30"/>
                <w:vertAlign w:val="subscript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Dalam 1 (satu) minggu, maksimal waktu pendidik  mengajar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40 jam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pelajaran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Untuk pembelajaran di ruang kelas, rasio pendidik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63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c.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dengan peserta diklat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 : 24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sedangkan untuk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pelaksanaan prakteka 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 : 6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Jenis dan jumlah mata pelajaran yang diampu oleh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pendidik maksimum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2 mata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pelajaran disesuaikan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4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d.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dengan kualifikasi pendidik dan maksimal waktu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mengajar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⮚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(satu) jam pelajaran adalah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60 (enam puluh)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menit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0,88 %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5 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72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shd w:val="clear" w:color="auto" w:fill="FFE599"/>
              </w:rPr>
              <w:t xml:space="preserve">Tenaga kependidikan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8%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28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Tenaga kependidikan di bidang kepelautan merupakan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setiap orang yang mengabdikan diri dan diangkat sebagai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pimpinan lembaga diklat, tenaga administrasi, tenaga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perpustakaan, tenaga laboratorium/ praktek/ bengkel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kerja/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simulator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, tenaga kebersihan, teknisi dan sebutan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lain yang sesuai dengan tugasnya untuk menunjang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1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</w:p>
    <w:tbl>
      <w:tblPr>
        <w:tblStyle w:val="a6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administrasi, pengelolaan, pengembangan, pengawasan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68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serta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pelayanan teknis program diklat kepelautan.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Tenaga kependidikan ditetapkan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memperhatikan dan melengkapi: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Surat pengangkatan dari pimpinan lembaga diklat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7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sebagai tenaga kependidikan tetap untuk masing-masing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1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tugas dan tenaga kependidikan tidak tetap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0,125 %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057" w:right="55" w:hanging="69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30"/>
                <w:szCs w:val="30"/>
                <w:vertAlign w:val="subscript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Daftar riwayat hidup (curriculum vitae/ CV) tenaga  kependidikan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0,125 %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57" w:right="54" w:hanging="6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30"/>
                <w:szCs w:val="30"/>
                <w:vertAlign w:val="subscript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Memiliki sertifikasi sesuai dengan tugas, kewajiban dan  tanggungjawabnya;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0,125 %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Kebutuhan lembaga diklat terhadap tenaga kependidikan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64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4.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disesuaikan dengan jumlah program diklat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97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dilaksanakan dan susunan struktur organisasi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0,125 %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III 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Standar pengelolaan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23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Setiap pemgelolaan program diklat kepelautan oleh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pemerintah, pemerintah daerah, Badan Usaha Milik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Negara, Badan Usaha Milik Daerah atau masyarakat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umum wajib memenuhi persyaratan manajemen mutu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quality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management) sesuai ISO standard. Persyaratan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manajemen mutu (Quality Management) untuk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pengelolaan Lembaga diklat kepelautan tersebut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diterapkan sesuai dengan model system manajemen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mutu yang tersertifikasi oleh Lembaga sertifikasi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terakreditasi nasional dan/atau internasional seperti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tersebut dibawah ini namun tidak terbatas pada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SNI 19-9000series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TQM;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ISO 9001 versi yang masih berlaku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QMET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Sistem manajemen mutu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quality management system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yang diterapkan lembaga diklat kepelautan dilaksanakan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memperhatikan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061" w:right="55" w:hanging="68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8 (Delapan) prinsip manajemen dan siklus Plan, Do,  Check, Act/ PDCA (perencanaan, pengerjaan,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pemeriksaan, tindakan) untuk pelaksanaan audit dan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27"/>
              <w:jc w:val="right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sertifikasi berkelanjutan sesuai dengan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ISO Standard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6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Pengelolaan lembaga diklat kepelautan dilaksanakan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secara mandiri, efisien, efektif, dan akuntabel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dipimpin oleh seorang kepala/ pimpinan/ ketua sebagai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penanggungjawab pengelolan Pendidikan;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</w:p>
    <w:tbl>
      <w:tblPr>
        <w:tblStyle w:val="a7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91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Penunjukkan perwakilan manajemen (management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representative) dan / atau Perwakilan Manajemen Mutu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47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(Quality Management Representative) dengan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u w:val="single"/>
              </w:rPr>
              <w:t xml:space="preserve">sertifikasi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u w:val="single"/>
              </w:rPr>
              <w:t xml:space="preserve">auditor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sebagai orang yang bertanggungjawab untuk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menangani Sistem Manajemen Mutu (Quality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Management System) sesuai ISO Standard dan Sistem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standar mutu (Quality Management System) kepelautan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sesuai STCW 1978 dan amandemennya agar tetap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terjamin pelaksanaannya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0,6 %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Persyaratan standar mutu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Quality Standard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) Kepelautan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sesuai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 xml:space="preserve">STCW 1978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amandemennya untuk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pelaksanaan program diklat kepelautan dalam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memenuhi 8 (delapan) standar yang berkaitan dengan: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Standar Sarana dan Prasarana;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Standar Pendidik dan Tenaga Kependidikan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Standar pengelolaan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d. Standar Pembiayaan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e. Standar Kompetensi Lulusan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f. Standar Isi;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g. Standar Proses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h. Standar Penilaian Pendidikan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0,075 %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5. Pedoman Kepala Badan yang mengatur tentang: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a. Kurikulum dalam silabus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Peraturan diklat dan tata tertib yang meliputi tata tertib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pendidik, tenaga kependidikan dan peserta didik serta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39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penggunaan dan pemeliharaan sarana dan prasarana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IV Standar pembiayaan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27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Pembiayaan merupakan sebuah analisis terhadap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sumber pendapatan dan penggunaan biaya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digunakan untuk pengelolaan dan pelaksanaan diklat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kepelautan secara efektif dan efisien selama 1 (satu)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tahun dalam rangka mencapai tujuan Lembaga diklat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kepelautan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yang telah ditentukan.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Pembiayaan terdiri atas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Biaya peserta didik, merupakan biaya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Pendidikan yang harus dikeluarkan oleh peserta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didik untuk bisa mengikuti proses pembelajaran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secara teratur dan berkelanjutan;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8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Biaya operasi, meliputi gaji pendidik dan tenaga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kependidikan serta segala tunjangan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melekat pada gaji, bahan atau peralatan diklat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7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</w:t>
      </w:r>
    </w:p>
    <w:tbl>
      <w:tblPr>
        <w:tblStyle w:val="a8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28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habis pakai, biaya operasi diklat tak langsung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berupa instalasi daya, air, jasa telekomunikasi,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internet, pemeliharaan sarana dan prasarana,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uang lembur, transportasi, konsumsi, pajak,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asuransi dan lain sebagainya yang berkaitan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10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operasional diklat;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Biaya investasi, meliputi biaya penyediaan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sarana dan prasarana, pengembangan sumber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9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daya manusia dan modal kerja tetap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06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Pembiayaan pada Lembaga diklat kepelautan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disesuaikan dengan rencana kerja tahunan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merupakan penjabaran rinci dari rencana kerja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jangka Panjang yang telah disusun dengan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27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memperhatikan antara lain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77" w:right="55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Kalender diklat yang meliputi jadwal pembelajaran,  ulangan, ujian, dan praktek: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Jadwal penyusunan kurikulum: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3. Mata pelajaran atau mata kuliah: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55" w:right="51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Penugasan Pendidikan pada mata pelajaran atau  mata kuliah dan praktek: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5. Buku teks pelajaran: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59" w:right="5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6.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Jadwal penggunaan serta pemeliharaan sarana dan  prasarana pembelajaran: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57" w:right="5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7.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Pengadaan, penggunaan dan persediaan minimal  bahan habis pakai: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417" w:right="53" w:hanging="1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8.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 peningkatan mutu Pendidikan dan tanaga  kependidikan: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Jadwal internal dan eksternal audir, Tindakan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9.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koreksi dan pencegahan, pemantauan tujuan mutu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87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Analisa data serta tinjauan manajemen: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77" w:right="5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10.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Rencana anggaran pendapatan dan belanja Lembaga  diklat untuk masa kerja satu tahun: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417" w:right="53" w:hanging="103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11.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Jadwal penyusunan laporan akuntabilitas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dan  kinerja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Lembaga diklat untuk satu tahun terkahir.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V. Standar Kompetensi Lulusan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28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Standar Kompetensi Lulusan digunakan sebagai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pedoman penilaian dalam menentukan kelulusan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peserta didik yang mencakup sikap, pengetahuan dan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keterampilan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. Setiap lembaga diklat kepelautan harus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menyiapkan kriteria penilaian terhadap kompetensi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lulusan khusus pelaut sertifikat Keamanan sesuai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10</w:t>
      </w:r>
    </w:p>
    <w:tbl>
      <w:tblPr>
        <w:tblStyle w:val="a9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ketentuan STCW 1978 amendements 2010 Reg.VI/6 dan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STCW Code Section A-VI/6 dan IMO Model Course 1.28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yang menyatakan bahwa peserta diklat harus mampu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8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77" w:right="5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Mengunakan kesadaran alat dan kontrol rencana  yang menyelamatkan termasuk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Mengunakan kesadaran alat dan kontrol rencana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64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yang menyelamatkan termasuk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b. Pengetahuan tentang pintu keluar darurat,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c. Pembatasan penggunaan Iift.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18" w:right="53" w:hanging="106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Kemampuan untuk membantu penumpang menuju  tempat berkumpul dan stasiun embarkasi termasuk: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Kemampuan untuk memberikan perintah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dengan jelas: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Kemampuan kontrol penumpang di koridor,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17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tangga dan lorong-lorong: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Kemampuan mempertahankan jalan keluar yang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54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jelas dan bebas dari penghalang: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Kemampuan metode evakuasi penyandang cacat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dan orang-orang yang membutuhkan bantuan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77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khusus: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e. Kemampuan mencari ruang akomodasi.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57" w:right="54" w:hanging="70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3.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Kemampun melaksankan prosedur berkumpul  termasuk: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Kemampun pentingnya melaksanakan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perintahmenjaga ketertiban: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Kemampuan untuk menggunakan prosedur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60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untuk mengurangi dan menghindari panik: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Kemampuan untuk menggunakan, bila sesuai.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3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daftar penumpang untuk jumlah evakuasi: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Kemampuan untuk memastikan bahwa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penumpang sesuai berpakaian dan mengenakan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56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lifejackets mereka dengan benar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VI. Standar isi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06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Standar Isi mencakup lingkup materi dan tingkat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kompetensi minimal untuk mencapai standar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kompetensi lulusan minimal pada jenjang dan jenis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diklat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kepelautan tertentu. Standar Isi harus memenuhi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persyaratan :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77" w:right="5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Kerangka dasar merupakan rancangan pembelajaran (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Course Outline/lesson plan) sesuai IMO course 1.28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5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11</w:t>
      </w:r>
    </w:p>
    <w:tbl>
      <w:tblPr>
        <w:tblStyle w:val="aa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56" w:right="55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Struktur kurikulum merupakan acuan pembelajaran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atau silabus sesuai IMO Model course 1.28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27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Beban belajar menggunakan jdawal/jam pembelajaran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malalui system tatap muka, praktek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lapangan/laboratorium/bengkel kerja/simulator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penguasaan mandiriterstruktur lainnya sesuai IMO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Model course 1.28 dan kurikulum yang ditetapkan oleh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kapala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badan.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Kurikulum diklat disusun dan ditetapkan kepala badan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dengan berpedoman pada IMO Model Course 1.28 serta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dikembang kan dengan mangacu pada standar nasional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63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untuk setiap program diklat kepeleutan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Kalender akademik atau diklat mencakup permulaan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6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penutupan diklat, waktu efektif pembelajaran dan hari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libur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0,4 %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VII. Standar proses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66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Proses pembelajaran pada lembaga diklat kepelautan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dilaksanakan secara interaktif, inspiratif, memotifasi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peserta didik untuk berpartisipasi secara aktif serta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memberikan ruang yang cukup bagi kreatifitas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kemandirian serta keteladanan sesuai dengan keahlian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keterampilan kepelautan. Setiap lembaga diklat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kepelautan bertanggungjawab penuh terhadap proses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pembelajaran dimulai dari peserta didik diterima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dilembaga diklat tersebut sampai dengan memperoleh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87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sertifikat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keahlian dan keterampilan.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Urutan waktu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 xml:space="preserve">time frame)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pelaksanaan program diklat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mulai dari peserta didik diterima sampai dengan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memperoleh sertifikat keahlian dan keterampilan sesuai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diklat yang diikuti termasuk pemberian surat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pemberitahuan, surat peringatan, dan surat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pemberhentian kepada peserta didik yang tidak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mematuhi ketentuan berlaku dan harus tersusun serta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dijelaskan oleh lembaga diklat dalam suatu dokumen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proses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pembelajaran.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Untuk terlaksananya proses pembelajaran yang efektif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dan efisien, setiap lembaga diklat kepelautan harus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61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melaksanakan tahapan sebagai berikut: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1. Perencanaan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Perencanaan proses pembelajaran ditentukan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berdasarkan Rancangan Pembelajaran, Silabus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Kurikulum sesuai ketentuan IMO Model Course 1.29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6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12</w:t>
      </w:r>
    </w:p>
    <w:tbl>
      <w:tblPr>
        <w:tblStyle w:val="ab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serta ditetapkan kepala badan dan di kembang 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48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dengan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mangacu pada standar nasional.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Perencanaan proses pembelajaran yang ditentukan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harus sesuai IMO Model Course 1.28 sekurangnya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memuat antara lain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Tujuan pembelajaran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Materi ajar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Metode pengajaran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Sumber belajar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Penilaan hasil belajar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2. Pelaksanaan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Pelaksanaan proses pembelajaran harus memperhatikan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hal sebagai berikut: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Persyaratan peserta antara lain: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1) Ijasah minimal SMP atau sederajat: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2) surat keterangan bebas dari catatan kriminal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dari kepolisian bagi yang berusia lebih dari 18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tahun pada saat masuk pendidikan: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3) Khusus taruna/taruni yang akan praktek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57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berlayar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usia minimal 16 tahun.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4) Memiliki sertifikat Pelatihan Dasar Keselamatan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40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(Basic Safety Training),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5) Surat keterangan sehat dan tidak buta warna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dari dokter dan rumah sakit yang telah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mendapat pengesahan (approval) dari Direktur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00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Jenderal Perhubungan Laut: dan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6) Memiliki ijasah: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106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a. Minimal Sekolah Menengah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68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Pertama/Madrasah Tsanawiyah (mts):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b. Diluar syarat butir a harus mendapatkan izin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dari Direktorat Perkapalan dan Kepelautan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Direktorat Jenderal Perhubungan Laut.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7) Lulus seleksi penerimaan peserta meliputi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31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seleksi administrasi dan kesehatan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umlah maksimum peserta didik untuk pembelajaran di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ruang kelas maksimum adalah 24 orang dengan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pelaksanaan praktek maksimal 6 orang per kelompok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8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Beban waktu mengajar maksimal per pendidik dalam 1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(satu) hari belajar adalah 8 jam pelajaran atau 40 jam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pelajaran dalam 1 (satu) minggu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13</w:t>
      </w:r>
    </w:p>
    <w:tbl>
      <w:tblPr>
        <w:tblStyle w:val="ac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068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Rasio maksimal buku teks pelajaran setiap peserta didik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disarankan 1:5 atau dapat menggunakan buku bacaan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dan sumber belajar lain sejenis dengan fungsi yang sama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untuk menyesuaikan dengan perubahan ketentuan yang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berlaku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Rasio maksimal jumlah peserta didik setiap pendidik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untuk pembelajaran di kelas adlah 1:24 sedangkan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62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untuk pembelajaran praktek adalah 1:6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57" w:right="5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F.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Sesuai ketentuan IMO Model course 1.28 dan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kurikulum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y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ang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ditetapkan oleh kepala badan.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>3. Penilaian hasil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1067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Penilaian hasil proses pembelajaran harus menunjukkan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kompetensi setiap peserta diklat keterampilan kapal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penumpang dengan IMO Model Course 1.28.Teknik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penilaian sesuai kompetensi dilaksanakan dengan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mempertimbangkan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Kehadiran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Ujian tertulis berupa isian atau pilihan ganda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Ujian praktek lapangan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Ujian simulator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35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4.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Pengawasan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Pengawasan proses pembelajaran meliputi pemantauan,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>supervise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, evaluasi, pelaporan dan pengambilan langkah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60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tindal lanjut yang diperlukan dilaksanakan melalui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9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Audit internal oleh tim internal setiap lembaga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51" w:right="56" w:hanging="338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Audit eksternal oleh tim audit yang ditunjuk Direktur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J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enderal dan Tim Audit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>ISO Standard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19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  <w:t xml:space="preserve">VIII Satndar penilaian diklat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Melakukan penilaian kelayakan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>feasibility study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) pada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7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setiap permulaan pendirian diklat (initial audit)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1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setiap pembaharuan approval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  <w:highlight w:val="white"/>
              </w:rPr>
              <w:t>renewal audit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) meliputi: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59" w:right="55" w:hanging="34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>a.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Aspek hukum dan administrasi, terkait legalitas usaha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dan pemenuhan persyaratan administrasi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Aspek pasar dan pemasaran, meninjau tentang potensi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permintaan dan kebutuhan pelaut, daya serap pada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27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industri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usaha bidang pelayaran dan strategi pemasaran.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Aspek sosial dan ekonomi dan budaya, terkait pengaruh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timbal balik keberadaan lembaga diklat yang berdampak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terhadap kehidupan sosial, ekonomi, budaya lingkungan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setempat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14</w:t>
      </w:r>
    </w:p>
    <w:tbl>
      <w:tblPr>
        <w:tblStyle w:val="ad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Aspek manajemen dan keuangan terkait dengan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pengaturan pendanaan, sumber biaya dan proyeksi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94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pengembalian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modal dan resiko lembaga diklat.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Melakukan penilaian indeks kepuasan masyarakat (IKM)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Prosedur pelayanan, yaitu kemudahan tahapan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pelayanan yang diberikan kepada masyarakat dilihat dari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sisi kesederhanaan alur pelayanan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Persyaratan pelayanan, yaitu persyaratan teknis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administratif yang diperlukan untuk mendapatkan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63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pelayanan sesuai dengan jenis pelayanannya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Kejelasan petugas pelayanan, yaitu keberadaan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c.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kepastian petugas yang memberikan pelayanan (nama,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71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abatan serta kewenangan dan tanggungjawabnya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Kedisiplinan petugas pelayanan, yaitu kesungguhan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petugas dalam memberikan pelayanan terutama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terhadap konsitensi waktu kerja sesuai ketentuan yang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berlaku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anggung jawab petugas pelayanan, yaitu kejelasan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e.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wewenang dan tanggung jawab petugas dalam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1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penyelenggaraan dan penyelesaian pelayanan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Kemampuan petugas pelayanan, yaitu tingkat keahlian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dan keterampilan yang dimiliki petugas dalam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memberikan/menyelesaikan pelayanan kepada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masyarakat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Kecepatan pelayanan, yaitu target waktu pelayanan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g.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dapat diselesaikan dalam waktu yang telah ditentukan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oleh unit penyelenggara pelayanan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Keadilan mendapatkan pelayanan, yaitu pelaksanaan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pelayanan dengan tidak membedakan golongan/ status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masyarakat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 yang dilayani.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Kesopanan dan keramahan petugas, yaitu sikap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perilaku petugas dalam memberikan pelayanan kepada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masyarakat secara sopan dan ramah serta saling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58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menghormati dan menghargai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Kewajaran biaya pelayanan, yaitu keterjangkauan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69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j.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masyarakat terhadap besarnya biaya yang ditetapkan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lastRenderedPageBreak/>
              <w:t>oleh unit pelayanan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Kepastian biaya pelayanan, yaitu kesesuaian antara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k.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biaya yang dibayarkan dengan biaya yang telah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ditetapkan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5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15</w:t>
      </w:r>
    </w:p>
    <w:tbl>
      <w:tblPr>
        <w:tblStyle w:val="ae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Kepastian jadwal pelayanan, yaitu pelaksanaan waktu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3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pelayanan, sesuai dengan ketentuan yang telah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ditetapkan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Kenyamanan lingkungan, yaitu kondisi sarana dan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prasarana pelayanan yang bersih, rapi, dan teratur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sehingga dapat memberikan rasa nyaman kepada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penerima pelayanan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85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Keamanan pelayanan, yaitu terjaminnya tingkat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keamanan lingkungan unit penyelenggara pelayanan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4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ataupun sarana terhadap resiko-resiko yang diakibatkan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5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dari pelaksanaan pelayanan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64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Standar penilain diklat disesuaikan dengan program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5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diklat kepelautan yang dilaksanakan oleh Lembaga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Diklat, yang meliputi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0.1 %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Penilaian hasil belajar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1. Oleh pendidik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2. Oleh Lembaga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3. Oleh pemerintah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5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b.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Penilaian pelaksanaan diklat berupa quesioner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1. Oleh pendidik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2. Oleh Lembaga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3. Oleh pemerintah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058" w:right="54" w:hanging="3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bscript"/>
              </w:rPr>
              <w:t>c.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Penilaian pendidik dan tenaga kependidikan berupa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questioner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0,1 %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1. Oleh pendidik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2. Oleh Lembaga diklat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3. Oleh pemerintah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85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Seluruh penilaian diklat harus dilakukan evaluasi dan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perbaikan berkala dan berkelanjutan untuk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 xml:space="preserve">meningkatkan pelaksanaan program diklat kepelautan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49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ang efektif dan efisien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3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220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>R E K A P I T U L A S I :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SARANA PRASARANA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72 %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65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PENDIDIK &amp; KEPENDIDIKAN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PENGELOLAAN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5 %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6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PEMBIAYAAN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16</w:t>
      </w:r>
    </w:p>
    <w:tbl>
      <w:tblPr>
        <w:tblStyle w:val="af"/>
        <w:tblW w:w="15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7198"/>
        <w:gridCol w:w="1552"/>
        <w:gridCol w:w="1140"/>
        <w:gridCol w:w="1416"/>
        <w:gridCol w:w="3260"/>
      </w:tblGrid>
      <w:tr w:rsidR="0033490F">
        <w:trPr>
          <w:trHeight w:val="528"/>
        </w:trPr>
        <w:tc>
          <w:tcPr>
            <w:tcW w:w="4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No </w:t>
            </w:r>
          </w:p>
        </w:tc>
        <w:tc>
          <w:tcPr>
            <w:tcW w:w="7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Persyaratan dan Deskripsi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Pesyaratan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)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95" w:right="18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  <w:shd w:val="clear" w:color="auto" w:fill="FFE599"/>
              </w:rPr>
              <w:t>(Quantity)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dan Kondisi Sarana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Catatan</w:t>
            </w:r>
          </w:p>
        </w:tc>
      </w:tr>
      <w:tr w:rsidR="0033490F">
        <w:trPr>
          <w:trHeight w:val="427"/>
        </w:trPr>
        <w:tc>
          <w:tcPr>
            <w:tcW w:w="4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Score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Max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6" w:right="5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 xml:space="preserve">Kepemilikan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  <w:t>%)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</w:tr>
      <w:tr w:rsidR="0033490F">
        <w:trPr>
          <w:trHeight w:val="435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46"/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KOMPETENSI LULUSAN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ISI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2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PROSES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431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STANDAR PENILAIAN DIKLAT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FULLY 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COMPLY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2 %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3684"/>
        </w:trPr>
        <w:tc>
          <w:tcPr>
            <w:tcW w:w="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8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  <w:t xml:space="preserve">G R A N D T O T A L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100 %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33" w:right="46" w:hanging="335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Score kurang dari 80 (delapan  puluh) lembaga diklat  mengulang permohonan dari  tahap awal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54" w:lineRule="auto"/>
              <w:ind w:left="428" w:right="46" w:hanging="350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Score 80 - 85 lembaga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diklat  melakukan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dapat disarankan  pengualangan pembinaan  pemenuhan persyaratan dan  verifikasi dokumen  pemenuhan standar program  diklat kepelautan. </w:t>
            </w:r>
          </w:p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53" w:lineRule="auto"/>
              <w:ind w:left="435" w:right="48" w:hanging="358"/>
              <w:jc w:val="both"/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3. Score lebih dari 85 dapat  diusulkan pemberian  Pengesahan (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Approval)</w:t>
            </w: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23"/>
        <w:jc w:val="right"/>
        <w:rPr>
          <w:color w:val="000000"/>
          <w:sz w:val="18"/>
          <w:szCs w:val="18"/>
        </w:rPr>
        <w:sectPr w:rsidR="0033490F">
          <w:pgSz w:w="16820" w:h="11900" w:orient="landscape"/>
          <w:pgMar w:top="708" w:right="1084" w:bottom="1036" w:left="720" w:header="0" w:footer="720" w:gutter="0"/>
          <w:pgNumType w:start="1"/>
          <w:cols w:space="720"/>
        </w:sectPr>
      </w:pPr>
      <w:r>
        <w:rPr>
          <w:color w:val="000000"/>
          <w:sz w:val="18"/>
          <w:szCs w:val="18"/>
        </w:rPr>
        <w:t>17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430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 xml:space="preserve">………,…………………….2022 Pimpinan Lembaga Diklat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1" w:line="240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>(……………………………)</w:t>
      </w:r>
    </w:p>
    <w:tbl>
      <w:tblPr>
        <w:tblStyle w:val="af0"/>
        <w:tblW w:w="9134" w:type="dxa"/>
        <w:tblInd w:w="4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1"/>
        <w:gridCol w:w="1556"/>
        <w:gridCol w:w="284"/>
        <w:gridCol w:w="1252"/>
        <w:gridCol w:w="284"/>
        <w:gridCol w:w="3313"/>
        <w:gridCol w:w="1984"/>
      </w:tblGrid>
      <w:tr w:rsidR="0033490F">
        <w:trPr>
          <w:trHeight w:val="432"/>
        </w:trPr>
        <w:tc>
          <w:tcPr>
            <w:tcW w:w="913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………………………………………………,………….2022</w:t>
            </w:r>
          </w:p>
        </w:tc>
      </w:tr>
      <w:tr w:rsidR="0033490F">
        <w:trPr>
          <w:trHeight w:val="219"/>
        </w:trPr>
        <w:tc>
          <w:tcPr>
            <w:tcW w:w="913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Jabatan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Nama/ NIP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Tanda Tangan</w:t>
            </w: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Lead 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3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4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Auditor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3490F">
        <w:trPr>
          <w:trHeight w:val="22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NIP 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D80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90F" w:rsidRDefault="00334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334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Ditetapkan </w:t>
      </w:r>
      <w:proofErr w:type="gramStart"/>
      <w:r>
        <w:rPr>
          <w:color w:val="000000"/>
          <w:sz w:val="20"/>
          <w:szCs w:val="20"/>
        </w:rPr>
        <w:t>di :</w:t>
      </w:r>
      <w:proofErr w:type="gramEnd"/>
      <w:r>
        <w:rPr>
          <w:color w:val="000000"/>
          <w:sz w:val="20"/>
          <w:szCs w:val="20"/>
        </w:rPr>
        <w:t xml:space="preserve"> J A K A R T A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Pada </w:t>
      </w:r>
      <w:proofErr w:type="gramStart"/>
      <w:r>
        <w:rPr>
          <w:color w:val="000000"/>
          <w:sz w:val="20"/>
          <w:szCs w:val="20"/>
        </w:rPr>
        <w:t>Tanggal :</w:t>
      </w:r>
      <w:proofErr w:type="gramEnd"/>
      <w:r>
        <w:rPr>
          <w:color w:val="000000"/>
          <w:sz w:val="20"/>
          <w:szCs w:val="20"/>
        </w:rPr>
        <w:t xml:space="preserve"> Maret 2022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DIREKTUR PERKAPALAN DAN KEPELAUTAN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4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H. Ahmad Wahid, S.T., M.T., M.Mar.E.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  <w:sectPr w:rsidR="0033490F">
          <w:type w:val="continuous"/>
          <w:pgSz w:w="16820" w:h="11900" w:orient="landscape"/>
          <w:pgMar w:top="708" w:right="2148" w:bottom="1036" w:left="1283" w:header="0" w:footer="720" w:gutter="0"/>
          <w:cols w:num="2" w:space="720" w:equalWidth="0">
            <w:col w:w="6700" w:space="0"/>
            <w:col w:w="6700" w:space="0"/>
          </w:cols>
        </w:sectPr>
      </w:pPr>
      <w:r>
        <w:rPr>
          <w:color w:val="000000"/>
          <w:sz w:val="20"/>
          <w:szCs w:val="20"/>
        </w:rPr>
        <w:t xml:space="preserve">NIP. 19650725 199308 1 001 </w:t>
      </w:r>
    </w:p>
    <w:p w:rsidR="0033490F" w:rsidRDefault="00D80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6" w:line="240" w:lineRule="auto"/>
        <w:ind w:right="7217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18 </w:t>
      </w:r>
    </w:p>
    <w:sectPr w:rsidR="0033490F">
      <w:type w:val="continuous"/>
      <w:pgSz w:w="16820" w:h="11900" w:orient="landscape"/>
      <w:pgMar w:top="708" w:right="1084" w:bottom="1036" w:left="720" w:header="0" w:footer="720" w:gutter="0"/>
      <w:cols w:space="720" w:equalWidth="0">
        <w:col w:w="150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490F"/>
    <w:rsid w:val="0033490F"/>
    <w:rsid w:val="00D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5033</Words>
  <Characters>28689</Characters>
  <Application>Microsoft Office Word</Application>
  <DocSecurity>0</DocSecurity>
  <Lines>239</Lines>
  <Paragraphs>67</Paragraphs>
  <ScaleCrop>false</ScaleCrop>
  <Company/>
  <LinksUpToDate>false</LinksUpToDate>
  <CharactersWithSpaces>33655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2022-10-03T03:26:00Z</dcterms:created>
  <dcterms:modified xsi:type="dcterms:W3CDTF">2022-10-03T03:27:00Z</dcterms:modified>
</cp:coreProperties>
</file>